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r>
        <w:rPr>
          <w:rFonts w:hint="eastAsia" w:ascii="黑体" w:hAnsi="黑体" w:eastAsia="黑体"/>
          <w:b/>
          <w:sz w:val="44"/>
          <w:szCs w:val="44"/>
        </w:rPr>
        <w:t>闵行区关于加快推进生物</w:t>
      </w:r>
      <w:r>
        <w:rPr>
          <w:rFonts w:ascii="黑体" w:hAnsi="黑体" w:eastAsia="黑体"/>
          <w:b/>
          <w:sz w:val="44"/>
          <w:szCs w:val="44"/>
        </w:rPr>
        <w:t>医药产业</w:t>
      </w:r>
      <w:r>
        <w:rPr>
          <w:rFonts w:hint="eastAsia" w:ascii="黑体" w:hAnsi="黑体" w:eastAsia="黑体"/>
          <w:b/>
          <w:sz w:val="44"/>
          <w:szCs w:val="44"/>
        </w:rPr>
        <w:t>高质量发展的政策意见</w:t>
      </w:r>
    </w:p>
    <w:p>
      <w:pPr>
        <w:jc w:val="center"/>
        <w:rPr>
          <w:rFonts w:ascii="黑体" w:hAnsi="黑体" w:eastAsia="黑体"/>
          <w:b/>
          <w:sz w:val="32"/>
          <w:szCs w:val="32"/>
        </w:rPr>
      </w:pPr>
      <w:r>
        <w:rPr>
          <w:rFonts w:hint="eastAsia" w:ascii="黑体" w:hAnsi="黑体" w:eastAsia="黑体"/>
          <w:b/>
          <w:sz w:val="32"/>
          <w:szCs w:val="32"/>
        </w:rPr>
        <w:t>（征求意见稿）</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为进一步加快推进闵行区生物医药产业高质量发展，特制定如下政策</w:t>
      </w:r>
      <w:r>
        <w:rPr>
          <w:rFonts w:ascii="仿宋_GB2312" w:eastAsia="仿宋_GB2312"/>
          <w:sz w:val="30"/>
          <w:szCs w:val="30"/>
        </w:rPr>
        <w:t>意见</w:t>
      </w:r>
      <w:r>
        <w:rPr>
          <w:rFonts w:hint="eastAsia" w:ascii="仿宋_GB2312" w:eastAsia="仿宋_GB2312"/>
          <w:sz w:val="30"/>
          <w:szCs w:val="30"/>
        </w:rPr>
        <w:t>：</w:t>
      </w:r>
    </w:p>
    <w:p>
      <w:pPr>
        <w:spacing w:line="560" w:lineRule="exact"/>
        <w:ind w:firstLine="602" w:firstLineChars="200"/>
        <w:rPr>
          <w:rFonts w:ascii="黑体" w:hAnsi="黑体" w:eastAsia="黑体"/>
          <w:b/>
          <w:sz w:val="30"/>
          <w:szCs w:val="30"/>
        </w:rPr>
      </w:pPr>
      <w:r>
        <w:rPr>
          <w:rFonts w:hint="eastAsia" w:ascii="黑体" w:hAnsi="黑体" w:eastAsia="黑体"/>
          <w:b/>
          <w:sz w:val="30"/>
          <w:szCs w:val="30"/>
        </w:rPr>
        <w:t>一、支持企业引进集聚</w:t>
      </w:r>
    </w:p>
    <w:p>
      <w:pPr>
        <w:pStyle w:val="3"/>
        <w:numPr>
          <w:ilvl w:val="0"/>
          <w:numId w:val="1"/>
        </w:numPr>
        <w:spacing w:line="560" w:lineRule="exact"/>
        <w:ind w:left="0" w:firstLine="600" w:firstLineChars="0"/>
        <w:rPr>
          <w:sz w:val="30"/>
          <w:szCs w:val="30"/>
        </w:rPr>
      </w:pPr>
      <w:r>
        <w:rPr>
          <w:rFonts w:hint="eastAsia"/>
          <w:sz w:val="30"/>
          <w:szCs w:val="30"/>
        </w:rPr>
        <w:t>优质企业优先供地。鼓励生物医药领域优质龙头企业落户重点产业园区和基地，对新引进的实缴资本超过1000万美元的外资项目或1亿元人民币的内资项目，新增固定资产投资5000万以上的，优先在生物医药园区安排产业用地，并优先列入市战略性新兴产业项目推荐库。</w:t>
      </w:r>
    </w:p>
    <w:p>
      <w:pPr>
        <w:pStyle w:val="3"/>
        <w:numPr>
          <w:ilvl w:val="0"/>
          <w:numId w:val="1"/>
        </w:numPr>
        <w:spacing w:line="560" w:lineRule="exact"/>
        <w:ind w:left="0" w:firstLine="600" w:firstLineChars="0"/>
        <w:rPr>
          <w:rFonts w:hint="eastAsia"/>
          <w:sz w:val="30"/>
          <w:szCs w:val="30"/>
        </w:rPr>
      </w:pPr>
      <w:r>
        <w:rPr>
          <w:rFonts w:hint="eastAsia"/>
          <w:sz w:val="30"/>
          <w:szCs w:val="30"/>
        </w:rPr>
        <w:t>重点企业租房或购房补贴。对在区内新注册落户并租赁闵行区“4+3+X”生物医药园区的重点生物医药企业，给予三年期50%的租金补贴，每年不超过100万元的；新引入生物医药重点企业在闵行购置办公和厂房载体自用，按企业购买载体总价的10%给予一次性补贴，总计不超过300万元。</w:t>
      </w:r>
    </w:p>
    <w:p>
      <w:pPr>
        <w:pStyle w:val="3"/>
        <w:numPr>
          <w:ilvl w:val="0"/>
          <w:numId w:val="1"/>
        </w:numPr>
        <w:spacing w:line="560" w:lineRule="exact"/>
        <w:ind w:left="0" w:firstLine="600" w:firstLineChars="0"/>
        <w:rPr>
          <w:sz w:val="30"/>
          <w:szCs w:val="30"/>
        </w:rPr>
      </w:pPr>
      <w:r>
        <w:rPr>
          <w:rFonts w:hint="eastAsia"/>
          <w:sz w:val="30"/>
          <w:szCs w:val="30"/>
        </w:rPr>
        <w:t>医疗机器人领域企业专项补贴。（1）固定投资补贴，支持新引进医疗机器人产业相关企业在大零号湾集聚，给予装修改造、设备购置等固定资产投资10%最高1000万元的补贴。（2）测试费用补贴。对医疗机器人相关研发过程中产生的测试服务费用，给予30%最高100万元的补贴，单个企业每年补贴不超过100万元。</w:t>
      </w:r>
    </w:p>
    <w:p>
      <w:pPr>
        <w:spacing w:line="560" w:lineRule="exact"/>
        <w:ind w:firstLine="602" w:firstLineChars="200"/>
        <w:rPr>
          <w:rFonts w:ascii="黑体" w:hAnsi="黑体" w:eastAsia="黑体"/>
          <w:b/>
          <w:sz w:val="30"/>
          <w:szCs w:val="30"/>
        </w:rPr>
      </w:pPr>
      <w:r>
        <w:rPr>
          <w:rFonts w:hint="eastAsia" w:ascii="黑体" w:hAnsi="黑体" w:eastAsia="黑体"/>
          <w:b/>
          <w:sz w:val="30"/>
          <w:szCs w:val="30"/>
        </w:rPr>
        <w:t>二、鼓励企业科技创新</w:t>
      </w:r>
    </w:p>
    <w:p>
      <w:pPr>
        <w:pStyle w:val="3"/>
        <w:numPr>
          <w:ilvl w:val="0"/>
          <w:numId w:val="1"/>
        </w:numPr>
        <w:spacing w:line="560" w:lineRule="exact"/>
        <w:ind w:left="0" w:firstLine="600" w:firstLineChars="0"/>
        <w:rPr>
          <w:sz w:val="30"/>
          <w:szCs w:val="30"/>
        </w:rPr>
      </w:pPr>
      <w:r>
        <w:rPr>
          <w:rFonts w:hint="eastAsia"/>
          <w:sz w:val="30"/>
          <w:szCs w:val="30"/>
        </w:rPr>
        <w:t>支持企业获得《药品注册批件》。对中药、天然药物、化学药物、生物制品的创新药，单品种一次性资助200万元；对中药、天然药物改良型新药，化学药物的改良型新药和仿制境内、外已上市原研药品的仿制药品，改良型和境内、外已上市的仿制生物制品，单品种一次性资助100万元；单个企业每年补贴不超过200万元。</w:t>
      </w:r>
    </w:p>
    <w:p>
      <w:pPr>
        <w:pStyle w:val="3"/>
        <w:numPr>
          <w:ilvl w:val="0"/>
          <w:numId w:val="1"/>
        </w:numPr>
        <w:spacing w:line="560" w:lineRule="exact"/>
        <w:ind w:left="0" w:firstLine="600" w:firstLineChars="0"/>
        <w:rPr>
          <w:sz w:val="30"/>
          <w:szCs w:val="30"/>
        </w:rPr>
      </w:pPr>
      <w:r>
        <w:rPr>
          <w:rFonts w:hint="eastAsia"/>
          <w:sz w:val="30"/>
          <w:szCs w:val="30"/>
        </w:rPr>
        <w:t>支持企业取得《医疗器械注册证书》。获得基因测序、肿瘤检测等诊断试剂三类医疗器械注册证的，单品种给予一次性资助20万元；获得医学影像、植入性组织材料等非诊断试剂三类医疗器械注册证的，单品种给予一次性资助50万元；获得创新医疗器械三类医疗器械注册证的，单品种给予一次性资助100万元；单个企业每年资助不超过100万元。</w:t>
      </w:r>
    </w:p>
    <w:p>
      <w:pPr>
        <w:pStyle w:val="3"/>
        <w:numPr>
          <w:ilvl w:val="0"/>
          <w:numId w:val="1"/>
        </w:numPr>
        <w:spacing w:line="560" w:lineRule="exact"/>
        <w:ind w:left="0" w:firstLine="600" w:firstLineChars="0"/>
        <w:rPr>
          <w:rFonts w:hint="eastAsia"/>
          <w:sz w:val="30"/>
          <w:szCs w:val="30"/>
        </w:rPr>
      </w:pPr>
      <w:r>
        <w:rPr>
          <w:rFonts w:hint="eastAsia"/>
          <w:sz w:val="30"/>
          <w:szCs w:val="30"/>
        </w:rPr>
        <w:t>支持企业取得国际认证。</w:t>
      </w:r>
      <w:r>
        <w:rPr>
          <w:sz w:val="30"/>
          <w:szCs w:val="30"/>
        </w:rPr>
        <w:t>对</w:t>
      </w:r>
      <w:r>
        <w:rPr>
          <w:rFonts w:hint="eastAsia"/>
          <w:sz w:val="30"/>
          <w:szCs w:val="30"/>
        </w:rPr>
        <w:t>首次获得</w:t>
      </w:r>
      <w:r>
        <w:rPr>
          <w:sz w:val="30"/>
          <w:szCs w:val="30"/>
        </w:rPr>
        <w:t>美国食品药品监督</w:t>
      </w:r>
      <w:r>
        <w:rPr>
          <w:rFonts w:hint="eastAsia"/>
          <w:sz w:val="30"/>
          <w:szCs w:val="30"/>
        </w:rPr>
        <w:t>管理</w:t>
      </w:r>
      <w:r>
        <w:rPr>
          <w:sz w:val="30"/>
          <w:szCs w:val="30"/>
        </w:rPr>
        <w:t>局(FDA)</w:t>
      </w:r>
      <w:r>
        <w:rPr>
          <w:rFonts w:hint="eastAsia"/>
          <w:sz w:val="30"/>
          <w:szCs w:val="30"/>
        </w:rPr>
        <w:t>、</w:t>
      </w:r>
      <w:r>
        <w:rPr>
          <w:sz w:val="30"/>
          <w:szCs w:val="30"/>
        </w:rPr>
        <w:t>欧洲</w:t>
      </w:r>
      <w:r>
        <w:rPr>
          <w:rFonts w:hint="eastAsia"/>
          <w:sz w:val="30"/>
          <w:szCs w:val="30"/>
        </w:rPr>
        <w:t>药品管理局</w:t>
      </w:r>
      <w:r>
        <w:rPr>
          <w:sz w:val="30"/>
          <w:szCs w:val="30"/>
        </w:rPr>
        <w:t>(EMA)</w:t>
      </w:r>
      <w:r>
        <w:rPr>
          <w:rFonts w:hint="eastAsia"/>
          <w:sz w:val="30"/>
          <w:szCs w:val="30"/>
        </w:rPr>
        <w:t xml:space="preserve"> 、PMDA(日本药品医疗器械局)或世界卫生组织（W</w:t>
      </w:r>
      <w:r>
        <w:rPr>
          <w:sz w:val="30"/>
          <w:szCs w:val="30"/>
        </w:rPr>
        <w:t>HO</w:t>
      </w:r>
      <w:r>
        <w:rPr>
          <w:rFonts w:hint="eastAsia"/>
          <w:sz w:val="30"/>
          <w:szCs w:val="30"/>
        </w:rPr>
        <w:t>）等国际权威认证并获得境外上市资质</w:t>
      </w:r>
      <w:r>
        <w:rPr>
          <w:sz w:val="30"/>
          <w:szCs w:val="30"/>
        </w:rPr>
        <w:t>的药品和</w:t>
      </w:r>
      <w:r>
        <w:rPr>
          <w:rFonts w:hint="eastAsia"/>
          <w:sz w:val="30"/>
          <w:szCs w:val="30"/>
        </w:rPr>
        <w:t>第三类</w:t>
      </w:r>
      <w:r>
        <w:rPr>
          <w:sz w:val="30"/>
          <w:szCs w:val="30"/>
        </w:rPr>
        <w:t>医疗器械，</w:t>
      </w:r>
      <w:r>
        <w:rPr>
          <w:rFonts w:hint="eastAsia"/>
          <w:sz w:val="30"/>
          <w:szCs w:val="30"/>
        </w:rPr>
        <w:t>单品种（同一产品不同规格视为同一品种）给予最高不超过200万元资助，</w:t>
      </w:r>
      <w:r>
        <w:rPr>
          <w:sz w:val="30"/>
          <w:szCs w:val="30"/>
        </w:rPr>
        <w:t>单个企业每年资助最高不超过</w:t>
      </w:r>
      <w:r>
        <w:rPr>
          <w:rFonts w:hint="eastAsia"/>
          <w:sz w:val="30"/>
          <w:szCs w:val="30"/>
        </w:rPr>
        <w:t>2</w:t>
      </w:r>
      <w:r>
        <w:rPr>
          <w:sz w:val="30"/>
          <w:szCs w:val="30"/>
        </w:rPr>
        <w:t>00万元。</w:t>
      </w:r>
    </w:p>
    <w:p>
      <w:pPr>
        <w:pStyle w:val="3"/>
        <w:spacing w:line="560" w:lineRule="exact"/>
        <w:ind w:left="602" w:firstLine="0" w:firstLineChars="0"/>
        <w:rPr>
          <w:rFonts w:ascii="黑体" w:hAnsi="黑体" w:eastAsia="黑体"/>
          <w:b/>
          <w:sz w:val="30"/>
          <w:szCs w:val="30"/>
        </w:rPr>
      </w:pPr>
      <w:r>
        <w:rPr>
          <w:rFonts w:hint="eastAsia" w:ascii="黑体" w:hAnsi="黑体" w:eastAsia="黑体"/>
          <w:b/>
          <w:sz w:val="30"/>
          <w:szCs w:val="30"/>
        </w:rPr>
        <w:t>三、支持服务平台发展</w:t>
      </w:r>
    </w:p>
    <w:p>
      <w:pPr>
        <w:pStyle w:val="3"/>
        <w:numPr>
          <w:ilvl w:val="0"/>
          <w:numId w:val="1"/>
        </w:numPr>
        <w:spacing w:line="560" w:lineRule="exact"/>
        <w:ind w:left="0" w:firstLine="600" w:firstLineChars="0"/>
        <w:rPr>
          <w:sz w:val="30"/>
          <w:szCs w:val="30"/>
        </w:rPr>
      </w:pPr>
      <w:r>
        <w:rPr>
          <w:rFonts w:hint="eastAsia"/>
          <w:sz w:val="30"/>
          <w:szCs w:val="30"/>
        </w:rPr>
        <w:t>支持生物</w:t>
      </w:r>
      <w:r>
        <w:rPr>
          <w:sz w:val="30"/>
          <w:szCs w:val="30"/>
        </w:rPr>
        <w:t>医药</w:t>
      </w:r>
      <w:r>
        <w:rPr>
          <w:rFonts w:hint="eastAsia"/>
          <w:sz w:val="30"/>
          <w:szCs w:val="30"/>
        </w:rPr>
        <w:t>产业公共服务平台建设。支持建立面向研发中试、检验检测、合同研发等公共服务平台、</w:t>
      </w:r>
      <w:r>
        <w:rPr>
          <w:sz w:val="30"/>
          <w:szCs w:val="30"/>
        </w:rPr>
        <w:t>专业技术</w:t>
      </w:r>
      <w:r>
        <w:rPr>
          <w:rFonts w:hint="eastAsia"/>
          <w:sz w:val="30"/>
          <w:szCs w:val="30"/>
        </w:rPr>
        <w:t>服务</w:t>
      </w:r>
      <w:r>
        <w:rPr>
          <w:sz w:val="30"/>
          <w:szCs w:val="30"/>
        </w:rPr>
        <w:t>平台</w:t>
      </w:r>
      <w:r>
        <w:rPr>
          <w:rFonts w:hint="eastAsia"/>
          <w:sz w:val="30"/>
          <w:szCs w:val="30"/>
        </w:rPr>
        <w:t>，给予固定资产投入的20%，最高200万</w:t>
      </w:r>
      <w:r>
        <w:rPr>
          <w:sz w:val="30"/>
          <w:szCs w:val="30"/>
        </w:rPr>
        <w:t>元</w:t>
      </w:r>
      <w:r>
        <w:rPr>
          <w:rFonts w:hint="eastAsia"/>
          <w:sz w:val="30"/>
          <w:szCs w:val="30"/>
        </w:rPr>
        <w:t>资助</w:t>
      </w:r>
      <w:r>
        <w:rPr>
          <w:sz w:val="30"/>
          <w:szCs w:val="30"/>
        </w:rPr>
        <w:t>。</w:t>
      </w:r>
      <w:r>
        <w:rPr>
          <w:rFonts w:hint="eastAsia"/>
          <w:sz w:val="30"/>
          <w:szCs w:val="30"/>
        </w:rPr>
        <w:t>（原政策保留条款）</w:t>
      </w:r>
    </w:p>
    <w:p>
      <w:pPr>
        <w:pStyle w:val="3"/>
        <w:numPr>
          <w:ilvl w:val="0"/>
          <w:numId w:val="1"/>
        </w:numPr>
        <w:spacing w:line="560" w:lineRule="exact"/>
        <w:ind w:left="0" w:firstLine="600" w:firstLineChars="0"/>
        <w:rPr>
          <w:rFonts w:hint="eastAsia"/>
          <w:sz w:val="30"/>
          <w:szCs w:val="30"/>
        </w:rPr>
      </w:pPr>
      <w:r>
        <w:rPr>
          <w:rFonts w:hint="eastAsia"/>
          <w:sz w:val="30"/>
          <w:szCs w:val="30"/>
        </w:rPr>
        <w:t>鼓励CRO/CDMO/CMO平台发展。对</w:t>
      </w:r>
      <w:r>
        <w:rPr>
          <w:sz w:val="30"/>
          <w:szCs w:val="30"/>
        </w:rPr>
        <w:t>医药</w:t>
      </w:r>
      <w:r>
        <w:rPr>
          <w:rFonts w:hint="eastAsia"/>
          <w:sz w:val="30"/>
          <w:szCs w:val="30"/>
        </w:rPr>
        <w:t>合同研究CRO、</w:t>
      </w:r>
      <w:r>
        <w:rPr>
          <w:sz w:val="30"/>
          <w:szCs w:val="30"/>
        </w:rPr>
        <w:t>合同研发生产</w:t>
      </w:r>
      <w:r>
        <w:rPr>
          <w:rFonts w:hint="eastAsia"/>
          <w:sz w:val="30"/>
          <w:szCs w:val="30"/>
        </w:rPr>
        <w:t>CDMO、</w:t>
      </w:r>
      <w:r>
        <w:rPr>
          <w:sz w:val="30"/>
          <w:szCs w:val="30"/>
        </w:rPr>
        <w:t>合同生产</w:t>
      </w:r>
      <w:r>
        <w:rPr>
          <w:rFonts w:hint="eastAsia"/>
          <w:sz w:val="30"/>
          <w:szCs w:val="30"/>
        </w:rPr>
        <w:t>CMO等公共服务平台为本区生物医药企业提供服务，每年按实际服务金额的10%予以资助，单个平台</w:t>
      </w:r>
      <w:r>
        <w:rPr>
          <w:sz w:val="30"/>
          <w:szCs w:val="30"/>
        </w:rPr>
        <w:t>每年资助最高不超过</w:t>
      </w:r>
      <w:r>
        <w:rPr>
          <w:rFonts w:hint="eastAsia"/>
          <w:sz w:val="30"/>
          <w:szCs w:val="30"/>
        </w:rPr>
        <w:t>10</w:t>
      </w:r>
      <w:r>
        <w:rPr>
          <w:sz w:val="30"/>
          <w:szCs w:val="30"/>
        </w:rPr>
        <w:t>0万元。</w:t>
      </w:r>
    </w:p>
    <w:p>
      <w:pPr>
        <w:pStyle w:val="3"/>
        <w:numPr>
          <w:ilvl w:val="0"/>
          <w:numId w:val="1"/>
        </w:numPr>
        <w:spacing w:line="560" w:lineRule="exact"/>
        <w:ind w:left="0" w:firstLine="600" w:firstLineChars="0"/>
        <w:rPr>
          <w:rFonts w:hint="eastAsia"/>
          <w:sz w:val="30"/>
          <w:szCs w:val="30"/>
        </w:rPr>
      </w:pPr>
      <w:r>
        <w:rPr>
          <w:rFonts w:hint="eastAsia"/>
          <w:sz w:val="30"/>
          <w:szCs w:val="30"/>
        </w:rPr>
        <w:t>鼓励区内委托生产。</w:t>
      </w:r>
      <w:r>
        <w:rPr>
          <w:sz w:val="30"/>
          <w:szCs w:val="30"/>
        </w:rPr>
        <w:t>对</w:t>
      </w:r>
      <w:r>
        <w:rPr>
          <w:rFonts w:hint="eastAsia"/>
          <w:sz w:val="30"/>
          <w:szCs w:val="30"/>
        </w:rPr>
        <w:t>本区药品上市许可持有人或医疗器械注册人委托区内企业（与委托方无关联）提供生产服务且产品销售税收结算在闵行区内的，</w:t>
      </w:r>
      <w:r>
        <w:rPr>
          <w:sz w:val="30"/>
          <w:szCs w:val="30"/>
        </w:rPr>
        <w:t>按该品种实际交易合同金额的</w:t>
      </w:r>
      <w:r>
        <w:rPr>
          <w:rFonts w:hint="eastAsia"/>
          <w:sz w:val="30"/>
          <w:szCs w:val="30"/>
        </w:rPr>
        <w:t>1</w:t>
      </w:r>
      <w:r>
        <w:rPr>
          <w:sz w:val="30"/>
          <w:szCs w:val="30"/>
        </w:rPr>
        <w:t>%给予资助，最高</w:t>
      </w:r>
      <w:r>
        <w:rPr>
          <w:rFonts w:hint="eastAsia"/>
          <w:sz w:val="30"/>
          <w:szCs w:val="30"/>
        </w:rPr>
        <w:t>不超过2</w:t>
      </w:r>
      <w:r>
        <w:rPr>
          <w:sz w:val="30"/>
          <w:szCs w:val="30"/>
        </w:rPr>
        <w:t>00万元。对</w:t>
      </w:r>
      <w:r>
        <w:rPr>
          <w:rFonts w:hint="eastAsia"/>
          <w:sz w:val="30"/>
          <w:szCs w:val="30"/>
        </w:rPr>
        <w:t>闵行区</w:t>
      </w:r>
      <w:r>
        <w:rPr>
          <w:sz w:val="30"/>
          <w:szCs w:val="30"/>
        </w:rPr>
        <w:t>内生物医药企业按照药品上市许可持有人制度、医疗器械注册人制度承担</w:t>
      </w:r>
      <w:r>
        <w:rPr>
          <w:rFonts w:hint="eastAsia"/>
          <w:sz w:val="30"/>
          <w:szCs w:val="30"/>
        </w:rPr>
        <w:t>委托</w:t>
      </w:r>
      <w:r>
        <w:rPr>
          <w:sz w:val="30"/>
          <w:szCs w:val="30"/>
        </w:rPr>
        <w:t>生产的，按该品种实际交易合同金额的</w:t>
      </w:r>
      <w:r>
        <w:rPr>
          <w:rFonts w:hint="eastAsia"/>
          <w:sz w:val="30"/>
          <w:szCs w:val="30"/>
        </w:rPr>
        <w:t>1</w:t>
      </w:r>
      <w:r>
        <w:rPr>
          <w:sz w:val="30"/>
          <w:szCs w:val="30"/>
        </w:rPr>
        <w:t>%予以资助，每个品种最高不超过</w:t>
      </w:r>
      <w:r>
        <w:rPr>
          <w:rFonts w:hint="eastAsia"/>
          <w:sz w:val="30"/>
          <w:szCs w:val="30"/>
        </w:rPr>
        <w:t>2</w:t>
      </w:r>
      <w:r>
        <w:rPr>
          <w:sz w:val="30"/>
          <w:szCs w:val="30"/>
        </w:rPr>
        <w:t>00万元</w:t>
      </w:r>
      <w:r>
        <w:rPr>
          <w:rFonts w:hint="eastAsia"/>
          <w:sz w:val="30"/>
          <w:szCs w:val="30"/>
        </w:rPr>
        <w:t>。单个每年企业资助不超过200万元。</w:t>
      </w:r>
    </w:p>
    <w:p>
      <w:pPr>
        <w:pStyle w:val="3"/>
        <w:spacing w:line="560" w:lineRule="exact"/>
        <w:ind w:left="600" w:firstLine="0" w:firstLineChars="0"/>
        <w:rPr>
          <w:sz w:val="30"/>
          <w:szCs w:val="30"/>
        </w:rPr>
      </w:pPr>
    </w:p>
    <w:p>
      <w:pPr>
        <w:spacing w:line="560" w:lineRule="exact"/>
        <w:ind w:firstLine="602" w:firstLineChars="200"/>
        <w:rPr>
          <w:rFonts w:ascii="黑体" w:hAnsi="黑体" w:eastAsia="黑体"/>
          <w:b/>
          <w:sz w:val="30"/>
          <w:szCs w:val="30"/>
        </w:rPr>
      </w:pPr>
      <w:r>
        <w:rPr>
          <w:rFonts w:hint="eastAsia" w:ascii="黑体" w:hAnsi="黑体" w:eastAsia="黑体"/>
          <w:b/>
          <w:sz w:val="30"/>
          <w:szCs w:val="30"/>
        </w:rPr>
        <w:t>四</w:t>
      </w:r>
      <w:r>
        <w:rPr>
          <w:rFonts w:ascii="黑体" w:hAnsi="黑体" w:eastAsia="黑体"/>
          <w:b/>
          <w:sz w:val="30"/>
          <w:szCs w:val="30"/>
        </w:rPr>
        <w:t>、</w:t>
      </w:r>
      <w:r>
        <w:rPr>
          <w:rFonts w:hint="eastAsia" w:ascii="黑体" w:hAnsi="黑体" w:eastAsia="黑体"/>
          <w:b/>
          <w:sz w:val="30"/>
          <w:szCs w:val="30"/>
        </w:rPr>
        <w:t>推进企业规模发展</w:t>
      </w:r>
    </w:p>
    <w:p>
      <w:pPr>
        <w:pStyle w:val="3"/>
        <w:numPr>
          <w:ilvl w:val="0"/>
          <w:numId w:val="1"/>
        </w:numPr>
        <w:spacing w:line="560" w:lineRule="exact"/>
        <w:ind w:left="0" w:firstLine="600" w:firstLineChars="0"/>
        <w:rPr>
          <w:sz w:val="30"/>
          <w:szCs w:val="30"/>
        </w:rPr>
      </w:pPr>
      <w:r>
        <w:rPr>
          <w:rFonts w:hint="eastAsia"/>
          <w:sz w:val="30"/>
          <w:szCs w:val="30"/>
        </w:rPr>
        <w:t>鼓</w:t>
      </w:r>
      <w:bookmarkStart w:id="0" w:name="_GoBack"/>
      <w:bookmarkEnd w:id="0"/>
      <w:r>
        <w:rPr>
          <w:rFonts w:hint="eastAsia"/>
          <w:sz w:val="30"/>
          <w:szCs w:val="30"/>
        </w:rPr>
        <w:t>励开展化学仿制药质量和疗效一致性评价。</w:t>
      </w:r>
      <w:r>
        <w:rPr>
          <w:sz w:val="30"/>
          <w:szCs w:val="30"/>
        </w:rPr>
        <w:t>对通过仿制药一致性评价的，</w:t>
      </w:r>
      <w:r>
        <w:rPr>
          <w:rFonts w:hint="eastAsia"/>
          <w:sz w:val="30"/>
          <w:szCs w:val="30"/>
        </w:rPr>
        <w:t>单品种给予最高不超过100万元资助，</w:t>
      </w:r>
      <w:r>
        <w:rPr>
          <w:sz w:val="30"/>
          <w:szCs w:val="30"/>
        </w:rPr>
        <w:t>单个企业</w:t>
      </w:r>
      <w:r>
        <w:rPr>
          <w:rFonts w:hint="eastAsia"/>
          <w:sz w:val="30"/>
          <w:szCs w:val="30"/>
        </w:rPr>
        <w:t>资助</w:t>
      </w:r>
      <w:r>
        <w:rPr>
          <w:sz w:val="30"/>
          <w:szCs w:val="30"/>
        </w:rPr>
        <w:t>最高不超过</w:t>
      </w:r>
      <w:r>
        <w:rPr>
          <w:rFonts w:hint="eastAsia"/>
          <w:sz w:val="30"/>
          <w:szCs w:val="30"/>
        </w:rPr>
        <w:t>2</w:t>
      </w:r>
      <w:r>
        <w:rPr>
          <w:sz w:val="30"/>
          <w:szCs w:val="30"/>
        </w:rPr>
        <w:t>00万元。</w:t>
      </w:r>
    </w:p>
    <w:p>
      <w:pPr>
        <w:pStyle w:val="3"/>
        <w:numPr>
          <w:ilvl w:val="0"/>
          <w:numId w:val="1"/>
        </w:numPr>
        <w:spacing w:line="560" w:lineRule="exact"/>
        <w:ind w:left="0" w:firstLine="600" w:firstLineChars="0"/>
        <w:rPr>
          <w:sz w:val="30"/>
          <w:szCs w:val="30"/>
        </w:rPr>
      </w:pPr>
      <w:r>
        <w:rPr>
          <w:rFonts w:hint="eastAsia"/>
          <w:sz w:val="30"/>
          <w:szCs w:val="30"/>
        </w:rPr>
        <w:t>鼓励开展生物医药企业创新成果产业化。大力支持本区生物医药企业申报上海市战略性新兴产业生物医药领域产业</w:t>
      </w:r>
      <w:r>
        <w:rPr>
          <w:sz w:val="30"/>
          <w:szCs w:val="30"/>
        </w:rPr>
        <w:t>化</w:t>
      </w:r>
      <w:r>
        <w:rPr>
          <w:rFonts w:hint="eastAsia"/>
          <w:sz w:val="30"/>
          <w:szCs w:val="30"/>
        </w:rPr>
        <w:t>相关重大项目，对获得市级财政支持的重大产业</w:t>
      </w:r>
      <w:r>
        <w:rPr>
          <w:sz w:val="30"/>
          <w:szCs w:val="30"/>
        </w:rPr>
        <w:t>化</w:t>
      </w:r>
      <w:r>
        <w:rPr>
          <w:rFonts w:hint="eastAsia"/>
          <w:sz w:val="30"/>
          <w:szCs w:val="30"/>
        </w:rPr>
        <w:t>项目，区财政以1：</w:t>
      </w:r>
      <w:r>
        <w:rPr>
          <w:sz w:val="30"/>
          <w:szCs w:val="30"/>
        </w:rPr>
        <w:t>0.5</w:t>
      </w:r>
      <w:r>
        <w:rPr>
          <w:rFonts w:hint="eastAsia"/>
          <w:sz w:val="30"/>
          <w:szCs w:val="30"/>
        </w:rPr>
        <w:t>比例给予匹配，最高不超过500万元。</w:t>
      </w:r>
    </w:p>
    <w:p>
      <w:pPr>
        <w:pStyle w:val="3"/>
        <w:numPr>
          <w:ilvl w:val="0"/>
          <w:numId w:val="1"/>
        </w:numPr>
        <w:spacing w:line="560" w:lineRule="exact"/>
        <w:ind w:left="0" w:firstLine="600" w:firstLineChars="0"/>
        <w:rPr>
          <w:sz w:val="30"/>
          <w:szCs w:val="30"/>
        </w:rPr>
      </w:pPr>
      <w:r>
        <w:rPr>
          <w:rFonts w:hint="eastAsia"/>
          <w:sz w:val="30"/>
          <w:szCs w:val="30"/>
        </w:rPr>
        <w:t>推动区内生物医药企业规模化发展。对年主营业务收入首次突破2000万元、1亿元、5亿元的生物医药工业和研发企业，分别给予20万、50万</w:t>
      </w:r>
      <w:r>
        <w:rPr>
          <w:sz w:val="30"/>
          <w:szCs w:val="30"/>
        </w:rPr>
        <w:t>、</w:t>
      </w:r>
      <w:r>
        <w:rPr>
          <w:rFonts w:hint="eastAsia"/>
          <w:sz w:val="30"/>
          <w:szCs w:val="30"/>
        </w:rPr>
        <w:t>100万元的一次性补贴。</w:t>
      </w:r>
    </w:p>
    <w:p>
      <w:pPr>
        <w:spacing w:line="560" w:lineRule="exact"/>
        <w:ind w:firstLine="602" w:firstLineChars="200"/>
        <w:rPr>
          <w:rFonts w:ascii="黑体" w:hAnsi="黑体" w:eastAsia="黑体"/>
          <w:b/>
          <w:sz w:val="30"/>
          <w:szCs w:val="30"/>
        </w:rPr>
      </w:pPr>
      <w:r>
        <w:rPr>
          <w:rFonts w:hint="eastAsia" w:ascii="黑体" w:hAnsi="黑体" w:eastAsia="黑体"/>
          <w:b/>
          <w:sz w:val="30"/>
          <w:szCs w:val="30"/>
        </w:rPr>
        <w:t>五、附则</w:t>
      </w:r>
    </w:p>
    <w:p>
      <w:pPr>
        <w:pStyle w:val="3"/>
        <w:spacing w:line="560" w:lineRule="exact"/>
        <w:ind w:firstLine="450" w:firstLineChars="150"/>
        <w:rPr>
          <w:sz w:val="30"/>
          <w:szCs w:val="30"/>
        </w:rPr>
      </w:pPr>
      <w:r>
        <w:rPr>
          <w:rFonts w:hint="eastAsia"/>
          <w:sz w:val="30"/>
          <w:szCs w:val="30"/>
        </w:rPr>
        <w:t>（一）本政策适用于工商注册和税务登记均在本区的企事业单位（区级财政全额拨款事业单位除外），并与本区其他各项政策按照“就高不重复”原则执行，同一项目不得重复享受同类政策。对聚焦重点领域或对产业发展具有重大影响力的项目，实行“一事一议”。</w:t>
      </w:r>
    </w:p>
    <w:p>
      <w:pPr>
        <w:pStyle w:val="3"/>
        <w:spacing w:line="560" w:lineRule="exact"/>
        <w:ind w:firstLine="450" w:firstLineChars="150"/>
        <w:rPr>
          <w:sz w:val="30"/>
          <w:szCs w:val="30"/>
        </w:rPr>
      </w:pPr>
      <w:r>
        <w:rPr>
          <w:rFonts w:hint="eastAsia"/>
          <w:sz w:val="30"/>
          <w:szCs w:val="30"/>
        </w:rPr>
        <w:t>（二）建立信用监督机制，在上海市公共信用信息服务平台内有存在严重的司法及行政负面记录的企事业单位，不予资助或补贴。</w:t>
      </w:r>
    </w:p>
    <w:p>
      <w:pPr>
        <w:pStyle w:val="3"/>
        <w:spacing w:line="560" w:lineRule="exact"/>
        <w:ind w:firstLine="450" w:firstLineChars="150"/>
        <w:rPr>
          <w:sz w:val="30"/>
          <w:szCs w:val="30"/>
        </w:rPr>
      </w:pPr>
      <w:r>
        <w:rPr>
          <w:rFonts w:hint="eastAsia"/>
          <w:sz w:val="30"/>
          <w:szCs w:val="30"/>
        </w:rPr>
        <w:t>（三）本政策自2021年5月1日起施行，有效</w:t>
      </w:r>
      <w:r>
        <w:rPr>
          <w:sz w:val="30"/>
          <w:szCs w:val="30"/>
        </w:rPr>
        <w:t>期</w:t>
      </w:r>
      <w:r>
        <w:rPr>
          <w:rFonts w:hint="eastAsia"/>
          <w:sz w:val="30"/>
          <w:szCs w:val="30"/>
        </w:rPr>
        <w:t>3</w:t>
      </w:r>
      <w:r>
        <w:rPr>
          <w:sz w:val="30"/>
          <w:szCs w:val="30"/>
        </w:rPr>
        <w:t>年</w:t>
      </w:r>
      <w:r>
        <w:rPr>
          <w:rFonts w:hint="eastAsia"/>
          <w:sz w:val="30"/>
          <w:szCs w:val="30"/>
        </w:rPr>
        <w:t>，具体实施细则由区科委牵头相关职能部门另行制定。</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djustRightInd w:val="0"/>
      <w:ind w:left="210" w:leftChars="100" w:right="210" w:rightChars="100"/>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3</w:t>
    </w:r>
    <w:r>
      <w:rPr>
        <w:rFonts w:ascii="宋体" w:hAnsi="宋体"/>
        <w:sz w:val="28"/>
        <w:szCs w:val="28"/>
      </w:rPr>
      <w:fldChar w:fldCharType="end"/>
    </w:r>
    <w:r>
      <w:rPr>
        <w:rStyle w:val="13"/>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A41A5"/>
    <w:multiLevelType w:val="multilevel"/>
    <w:tmpl w:val="2BFA41A5"/>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30"/>
    <w:rsid w:val="00000876"/>
    <w:rsid w:val="0000165E"/>
    <w:rsid w:val="00002229"/>
    <w:rsid w:val="0000407B"/>
    <w:rsid w:val="0000762F"/>
    <w:rsid w:val="00010EFE"/>
    <w:rsid w:val="00013369"/>
    <w:rsid w:val="00015575"/>
    <w:rsid w:val="0002158D"/>
    <w:rsid w:val="000540EB"/>
    <w:rsid w:val="0005429D"/>
    <w:rsid w:val="00063790"/>
    <w:rsid w:val="00066F52"/>
    <w:rsid w:val="00070A21"/>
    <w:rsid w:val="00076EDB"/>
    <w:rsid w:val="00080FF1"/>
    <w:rsid w:val="0008486F"/>
    <w:rsid w:val="000A0419"/>
    <w:rsid w:val="000A5055"/>
    <w:rsid w:val="000C5175"/>
    <w:rsid w:val="000C6627"/>
    <w:rsid w:val="000D2A05"/>
    <w:rsid w:val="000D4685"/>
    <w:rsid w:val="000E09D6"/>
    <w:rsid w:val="000E2966"/>
    <w:rsid w:val="000E495C"/>
    <w:rsid w:val="000F7192"/>
    <w:rsid w:val="00103760"/>
    <w:rsid w:val="001123CE"/>
    <w:rsid w:val="00113868"/>
    <w:rsid w:val="001144DC"/>
    <w:rsid w:val="00115B65"/>
    <w:rsid w:val="00126498"/>
    <w:rsid w:val="00126C2C"/>
    <w:rsid w:val="001311D1"/>
    <w:rsid w:val="00133C8F"/>
    <w:rsid w:val="00151CAD"/>
    <w:rsid w:val="00155031"/>
    <w:rsid w:val="00160281"/>
    <w:rsid w:val="00171189"/>
    <w:rsid w:val="0017519F"/>
    <w:rsid w:val="00181944"/>
    <w:rsid w:val="00182CBC"/>
    <w:rsid w:val="0018747D"/>
    <w:rsid w:val="0019080C"/>
    <w:rsid w:val="00195189"/>
    <w:rsid w:val="001A3642"/>
    <w:rsid w:val="001A3B62"/>
    <w:rsid w:val="001A64F3"/>
    <w:rsid w:val="001B05A6"/>
    <w:rsid w:val="001B6210"/>
    <w:rsid w:val="001C0BB9"/>
    <w:rsid w:val="001C145C"/>
    <w:rsid w:val="001C3630"/>
    <w:rsid w:val="001C3AF5"/>
    <w:rsid w:val="001C48B9"/>
    <w:rsid w:val="001D3AC1"/>
    <w:rsid w:val="001F23D3"/>
    <w:rsid w:val="002073D6"/>
    <w:rsid w:val="002100A6"/>
    <w:rsid w:val="00211E86"/>
    <w:rsid w:val="00213F51"/>
    <w:rsid w:val="00214643"/>
    <w:rsid w:val="00216376"/>
    <w:rsid w:val="00224563"/>
    <w:rsid w:val="0023789A"/>
    <w:rsid w:val="002479F0"/>
    <w:rsid w:val="002536FC"/>
    <w:rsid w:val="00257337"/>
    <w:rsid w:val="00266B60"/>
    <w:rsid w:val="002741D1"/>
    <w:rsid w:val="0028049D"/>
    <w:rsid w:val="00282FB3"/>
    <w:rsid w:val="002871A5"/>
    <w:rsid w:val="00287FB2"/>
    <w:rsid w:val="002966CC"/>
    <w:rsid w:val="002A2CD2"/>
    <w:rsid w:val="002C26A0"/>
    <w:rsid w:val="002C7E66"/>
    <w:rsid w:val="002E07DF"/>
    <w:rsid w:val="002E384E"/>
    <w:rsid w:val="002E4751"/>
    <w:rsid w:val="002F6E96"/>
    <w:rsid w:val="00304301"/>
    <w:rsid w:val="003076F8"/>
    <w:rsid w:val="00311BF3"/>
    <w:rsid w:val="0031483D"/>
    <w:rsid w:val="00314894"/>
    <w:rsid w:val="003162B1"/>
    <w:rsid w:val="0032297E"/>
    <w:rsid w:val="0032671B"/>
    <w:rsid w:val="00337093"/>
    <w:rsid w:val="003412ED"/>
    <w:rsid w:val="003440E1"/>
    <w:rsid w:val="00351ABB"/>
    <w:rsid w:val="003545C3"/>
    <w:rsid w:val="003555E1"/>
    <w:rsid w:val="0035638C"/>
    <w:rsid w:val="0036413C"/>
    <w:rsid w:val="003663DD"/>
    <w:rsid w:val="003706D1"/>
    <w:rsid w:val="00373EE9"/>
    <w:rsid w:val="0037474D"/>
    <w:rsid w:val="003808FB"/>
    <w:rsid w:val="00386491"/>
    <w:rsid w:val="00390448"/>
    <w:rsid w:val="00394402"/>
    <w:rsid w:val="00396860"/>
    <w:rsid w:val="00397A69"/>
    <w:rsid w:val="00397E37"/>
    <w:rsid w:val="003A20B7"/>
    <w:rsid w:val="003A7148"/>
    <w:rsid w:val="003A7D0A"/>
    <w:rsid w:val="003B5985"/>
    <w:rsid w:val="003C0387"/>
    <w:rsid w:val="003C32C4"/>
    <w:rsid w:val="003C47C1"/>
    <w:rsid w:val="003C582C"/>
    <w:rsid w:val="003C7CD1"/>
    <w:rsid w:val="003E5CB1"/>
    <w:rsid w:val="004059C0"/>
    <w:rsid w:val="00410048"/>
    <w:rsid w:val="00427F37"/>
    <w:rsid w:val="00430C1C"/>
    <w:rsid w:val="00436710"/>
    <w:rsid w:val="0044223E"/>
    <w:rsid w:val="00443E21"/>
    <w:rsid w:val="004478B4"/>
    <w:rsid w:val="00450124"/>
    <w:rsid w:val="00452EC3"/>
    <w:rsid w:val="00454D8B"/>
    <w:rsid w:val="0046239F"/>
    <w:rsid w:val="00462484"/>
    <w:rsid w:val="004702E2"/>
    <w:rsid w:val="00473371"/>
    <w:rsid w:val="00487100"/>
    <w:rsid w:val="004949BE"/>
    <w:rsid w:val="004A2F0F"/>
    <w:rsid w:val="004A752B"/>
    <w:rsid w:val="004B211B"/>
    <w:rsid w:val="004B428E"/>
    <w:rsid w:val="004B4F12"/>
    <w:rsid w:val="004B57E6"/>
    <w:rsid w:val="004C4BC0"/>
    <w:rsid w:val="004E47A5"/>
    <w:rsid w:val="004E5736"/>
    <w:rsid w:val="004F4F10"/>
    <w:rsid w:val="00510000"/>
    <w:rsid w:val="00512990"/>
    <w:rsid w:val="005219AA"/>
    <w:rsid w:val="00537002"/>
    <w:rsid w:val="005458B6"/>
    <w:rsid w:val="00550492"/>
    <w:rsid w:val="00551DD4"/>
    <w:rsid w:val="00552451"/>
    <w:rsid w:val="00556A14"/>
    <w:rsid w:val="00557DC8"/>
    <w:rsid w:val="00567A79"/>
    <w:rsid w:val="00567B64"/>
    <w:rsid w:val="00570E37"/>
    <w:rsid w:val="00571D23"/>
    <w:rsid w:val="005732C1"/>
    <w:rsid w:val="005815BF"/>
    <w:rsid w:val="00597160"/>
    <w:rsid w:val="005A31D4"/>
    <w:rsid w:val="005A6263"/>
    <w:rsid w:val="005B50F5"/>
    <w:rsid w:val="005B666F"/>
    <w:rsid w:val="005C026F"/>
    <w:rsid w:val="005D64B0"/>
    <w:rsid w:val="005E4342"/>
    <w:rsid w:val="005E4BDF"/>
    <w:rsid w:val="005E7F42"/>
    <w:rsid w:val="006078ED"/>
    <w:rsid w:val="00614F7E"/>
    <w:rsid w:val="00617C23"/>
    <w:rsid w:val="006248DA"/>
    <w:rsid w:val="00625C1E"/>
    <w:rsid w:val="006270E6"/>
    <w:rsid w:val="00627449"/>
    <w:rsid w:val="0063795F"/>
    <w:rsid w:val="0064429D"/>
    <w:rsid w:val="006462E0"/>
    <w:rsid w:val="00646343"/>
    <w:rsid w:val="00646CD8"/>
    <w:rsid w:val="00647958"/>
    <w:rsid w:val="00647D56"/>
    <w:rsid w:val="0065514A"/>
    <w:rsid w:val="00662E73"/>
    <w:rsid w:val="0066574E"/>
    <w:rsid w:val="00667B8E"/>
    <w:rsid w:val="00683AA9"/>
    <w:rsid w:val="0068466F"/>
    <w:rsid w:val="00686CC2"/>
    <w:rsid w:val="00687994"/>
    <w:rsid w:val="006A24BC"/>
    <w:rsid w:val="006B65D0"/>
    <w:rsid w:val="006C0F0B"/>
    <w:rsid w:val="006C0FC6"/>
    <w:rsid w:val="006C1E5D"/>
    <w:rsid w:val="006C718D"/>
    <w:rsid w:val="006D1399"/>
    <w:rsid w:val="006D3BE4"/>
    <w:rsid w:val="006E08D9"/>
    <w:rsid w:val="006F74E3"/>
    <w:rsid w:val="007035D5"/>
    <w:rsid w:val="00716394"/>
    <w:rsid w:val="00717C11"/>
    <w:rsid w:val="00731D4F"/>
    <w:rsid w:val="007346CF"/>
    <w:rsid w:val="00736826"/>
    <w:rsid w:val="00754540"/>
    <w:rsid w:val="00766400"/>
    <w:rsid w:val="00770BB8"/>
    <w:rsid w:val="00772B7C"/>
    <w:rsid w:val="00773B00"/>
    <w:rsid w:val="00774623"/>
    <w:rsid w:val="00777310"/>
    <w:rsid w:val="00786A0F"/>
    <w:rsid w:val="00787D24"/>
    <w:rsid w:val="007910F5"/>
    <w:rsid w:val="007941F4"/>
    <w:rsid w:val="007A082E"/>
    <w:rsid w:val="007A61EF"/>
    <w:rsid w:val="007A69D2"/>
    <w:rsid w:val="007A7343"/>
    <w:rsid w:val="007B4268"/>
    <w:rsid w:val="007B6600"/>
    <w:rsid w:val="007B7773"/>
    <w:rsid w:val="007C274C"/>
    <w:rsid w:val="007C416E"/>
    <w:rsid w:val="007E1886"/>
    <w:rsid w:val="007E7333"/>
    <w:rsid w:val="007F57E4"/>
    <w:rsid w:val="007F5F4A"/>
    <w:rsid w:val="007F75B7"/>
    <w:rsid w:val="007F760E"/>
    <w:rsid w:val="00801F23"/>
    <w:rsid w:val="00805BDC"/>
    <w:rsid w:val="008101FC"/>
    <w:rsid w:val="008117ED"/>
    <w:rsid w:val="00814526"/>
    <w:rsid w:val="00823D6A"/>
    <w:rsid w:val="00825E47"/>
    <w:rsid w:val="0082652C"/>
    <w:rsid w:val="00835F4E"/>
    <w:rsid w:val="008366AC"/>
    <w:rsid w:val="00837C36"/>
    <w:rsid w:val="008445C9"/>
    <w:rsid w:val="00871A02"/>
    <w:rsid w:val="008812B9"/>
    <w:rsid w:val="008A3175"/>
    <w:rsid w:val="008C3DCF"/>
    <w:rsid w:val="008D2C5D"/>
    <w:rsid w:val="008D309A"/>
    <w:rsid w:val="008D4E04"/>
    <w:rsid w:val="008E2F73"/>
    <w:rsid w:val="008E44D4"/>
    <w:rsid w:val="008E5552"/>
    <w:rsid w:val="008E7F84"/>
    <w:rsid w:val="008F2177"/>
    <w:rsid w:val="008F2549"/>
    <w:rsid w:val="008F2B4B"/>
    <w:rsid w:val="008F3C08"/>
    <w:rsid w:val="008F79F3"/>
    <w:rsid w:val="0090239A"/>
    <w:rsid w:val="009054FA"/>
    <w:rsid w:val="0090787A"/>
    <w:rsid w:val="0091391E"/>
    <w:rsid w:val="00920CEF"/>
    <w:rsid w:val="00922BEA"/>
    <w:rsid w:val="00924AC9"/>
    <w:rsid w:val="00926C7A"/>
    <w:rsid w:val="0093034F"/>
    <w:rsid w:val="00931D83"/>
    <w:rsid w:val="009335DC"/>
    <w:rsid w:val="00935AEC"/>
    <w:rsid w:val="00937D12"/>
    <w:rsid w:val="009405FE"/>
    <w:rsid w:val="00947C18"/>
    <w:rsid w:val="009517F5"/>
    <w:rsid w:val="00951FF2"/>
    <w:rsid w:val="009613B0"/>
    <w:rsid w:val="00962EB3"/>
    <w:rsid w:val="00987819"/>
    <w:rsid w:val="00990219"/>
    <w:rsid w:val="00992A88"/>
    <w:rsid w:val="009A500D"/>
    <w:rsid w:val="009B0762"/>
    <w:rsid w:val="009B2E0C"/>
    <w:rsid w:val="009B5492"/>
    <w:rsid w:val="009C11BA"/>
    <w:rsid w:val="009C1FB0"/>
    <w:rsid w:val="009C7279"/>
    <w:rsid w:val="009D1594"/>
    <w:rsid w:val="009D22F3"/>
    <w:rsid w:val="009D5AC8"/>
    <w:rsid w:val="009D6CD9"/>
    <w:rsid w:val="009E30C8"/>
    <w:rsid w:val="009F12F2"/>
    <w:rsid w:val="009F1EEF"/>
    <w:rsid w:val="009F33AB"/>
    <w:rsid w:val="00A02BF8"/>
    <w:rsid w:val="00A10070"/>
    <w:rsid w:val="00A16EA1"/>
    <w:rsid w:val="00A174C8"/>
    <w:rsid w:val="00A24776"/>
    <w:rsid w:val="00A31E0F"/>
    <w:rsid w:val="00A41077"/>
    <w:rsid w:val="00A543B8"/>
    <w:rsid w:val="00A622F8"/>
    <w:rsid w:val="00A6354F"/>
    <w:rsid w:val="00A64136"/>
    <w:rsid w:val="00A7760A"/>
    <w:rsid w:val="00A805CE"/>
    <w:rsid w:val="00A822B2"/>
    <w:rsid w:val="00A82B8A"/>
    <w:rsid w:val="00A90221"/>
    <w:rsid w:val="00A90228"/>
    <w:rsid w:val="00A9272C"/>
    <w:rsid w:val="00A92F47"/>
    <w:rsid w:val="00A9523E"/>
    <w:rsid w:val="00A960A0"/>
    <w:rsid w:val="00AA513C"/>
    <w:rsid w:val="00AB014B"/>
    <w:rsid w:val="00AB4A72"/>
    <w:rsid w:val="00AB5DED"/>
    <w:rsid w:val="00AB7F51"/>
    <w:rsid w:val="00AC2F66"/>
    <w:rsid w:val="00AD0707"/>
    <w:rsid w:val="00AD1368"/>
    <w:rsid w:val="00AD1572"/>
    <w:rsid w:val="00AD6124"/>
    <w:rsid w:val="00AE0039"/>
    <w:rsid w:val="00AE60FE"/>
    <w:rsid w:val="00AE6406"/>
    <w:rsid w:val="00B00A5F"/>
    <w:rsid w:val="00B01DCD"/>
    <w:rsid w:val="00B21156"/>
    <w:rsid w:val="00B21582"/>
    <w:rsid w:val="00B22B9E"/>
    <w:rsid w:val="00B26309"/>
    <w:rsid w:val="00B315A6"/>
    <w:rsid w:val="00B33B7F"/>
    <w:rsid w:val="00B3692E"/>
    <w:rsid w:val="00B41A2F"/>
    <w:rsid w:val="00B43A7F"/>
    <w:rsid w:val="00B44754"/>
    <w:rsid w:val="00B6021E"/>
    <w:rsid w:val="00B67419"/>
    <w:rsid w:val="00B76049"/>
    <w:rsid w:val="00B83DF3"/>
    <w:rsid w:val="00B9047B"/>
    <w:rsid w:val="00B96282"/>
    <w:rsid w:val="00BA32DC"/>
    <w:rsid w:val="00BB367E"/>
    <w:rsid w:val="00BC1A9A"/>
    <w:rsid w:val="00BD023F"/>
    <w:rsid w:val="00BD23D5"/>
    <w:rsid w:val="00BD3093"/>
    <w:rsid w:val="00BD3619"/>
    <w:rsid w:val="00C01859"/>
    <w:rsid w:val="00C0411F"/>
    <w:rsid w:val="00C06E10"/>
    <w:rsid w:val="00C104F3"/>
    <w:rsid w:val="00C12945"/>
    <w:rsid w:val="00C23EB7"/>
    <w:rsid w:val="00C40DF3"/>
    <w:rsid w:val="00C42697"/>
    <w:rsid w:val="00C50AAF"/>
    <w:rsid w:val="00C52489"/>
    <w:rsid w:val="00C60893"/>
    <w:rsid w:val="00C6232B"/>
    <w:rsid w:val="00C70603"/>
    <w:rsid w:val="00C71C2E"/>
    <w:rsid w:val="00C77262"/>
    <w:rsid w:val="00C77A74"/>
    <w:rsid w:val="00C92A5A"/>
    <w:rsid w:val="00C954F8"/>
    <w:rsid w:val="00C959D9"/>
    <w:rsid w:val="00CA68C5"/>
    <w:rsid w:val="00CB17D6"/>
    <w:rsid w:val="00CC01D4"/>
    <w:rsid w:val="00CD12F0"/>
    <w:rsid w:val="00CE29FC"/>
    <w:rsid w:val="00CF0A23"/>
    <w:rsid w:val="00D03037"/>
    <w:rsid w:val="00D04E19"/>
    <w:rsid w:val="00D05B0F"/>
    <w:rsid w:val="00D05D14"/>
    <w:rsid w:val="00D11376"/>
    <w:rsid w:val="00D11C30"/>
    <w:rsid w:val="00D14D47"/>
    <w:rsid w:val="00D27A98"/>
    <w:rsid w:val="00D3038B"/>
    <w:rsid w:val="00D315E7"/>
    <w:rsid w:val="00D3363A"/>
    <w:rsid w:val="00D36CA2"/>
    <w:rsid w:val="00D36CE4"/>
    <w:rsid w:val="00D47606"/>
    <w:rsid w:val="00D47941"/>
    <w:rsid w:val="00D53920"/>
    <w:rsid w:val="00D549ED"/>
    <w:rsid w:val="00D60342"/>
    <w:rsid w:val="00D62820"/>
    <w:rsid w:val="00D65897"/>
    <w:rsid w:val="00D7551D"/>
    <w:rsid w:val="00D92015"/>
    <w:rsid w:val="00DA0D45"/>
    <w:rsid w:val="00DA78ED"/>
    <w:rsid w:val="00DB0EC9"/>
    <w:rsid w:val="00DB3D39"/>
    <w:rsid w:val="00DB5332"/>
    <w:rsid w:val="00DB671D"/>
    <w:rsid w:val="00DC7A61"/>
    <w:rsid w:val="00DD2411"/>
    <w:rsid w:val="00DD2678"/>
    <w:rsid w:val="00DE165B"/>
    <w:rsid w:val="00DE19E9"/>
    <w:rsid w:val="00DE45C0"/>
    <w:rsid w:val="00DE5028"/>
    <w:rsid w:val="00DE611A"/>
    <w:rsid w:val="00DE7F0B"/>
    <w:rsid w:val="00DF4EC6"/>
    <w:rsid w:val="00DF51B0"/>
    <w:rsid w:val="00E04527"/>
    <w:rsid w:val="00E0491C"/>
    <w:rsid w:val="00E053C3"/>
    <w:rsid w:val="00E07A8C"/>
    <w:rsid w:val="00E24AE0"/>
    <w:rsid w:val="00E313A4"/>
    <w:rsid w:val="00E31EF8"/>
    <w:rsid w:val="00E3615B"/>
    <w:rsid w:val="00E43419"/>
    <w:rsid w:val="00E4422B"/>
    <w:rsid w:val="00E45B61"/>
    <w:rsid w:val="00E45E1A"/>
    <w:rsid w:val="00E52C72"/>
    <w:rsid w:val="00E611FC"/>
    <w:rsid w:val="00E65CF0"/>
    <w:rsid w:val="00E800CB"/>
    <w:rsid w:val="00EB6ECD"/>
    <w:rsid w:val="00EC31A8"/>
    <w:rsid w:val="00ED1D4A"/>
    <w:rsid w:val="00ED6EE9"/>
    <w:rsid w:val="00EE2ABA"/>
    <w:rsid w:val="00EE3A80"/>
    <w:rsid w:val="00EE450C"/>
    <w:rsid w:val="00EE7E65"/>
    <w:rsid w:val="00EF0C2D"/>
    <w:rsid w:val="00EF3684"/>
    <w:rsid w:val="00EF4511"/>
    <w:rsid w:val="00F06824"/>
    <w:rsid w:val="00F12860"/>
    <w:rsid w:val="00F137BE"/>
    <w:rsid w:val="00F237BB"/>
    <w:rsid w:val="00F27BCB"/>
    <w:rsid w:val="00F311BB"/>
    <w:rsid w:val="00F35189"/>
    <w:rsid w:val="00F37CD1"/>
    <w:rsid w:val="00F40751"/>
    <w:rsid w:val="00F41088"/>
    <w:rsid w:val="00F47A38"/>
    <w:rsid w:val="00F8019D"/>
    <w:rsid w:val="00F860D7"/>
    <w:rsid w:val="00F931FD"/>
    <w:rsid w:val="00FA0E95"/>
    <w:rsid w:val="00FA4AF3"/>
    <w:rsid w:val="00FB37E8"/>
    <w:rsid w:val="00FB5A70"/>
    <w:rsid w:val="00FB616D"/>
    <w:rsid w:val="00FC32B7"/>
    <w:rsid w:val="00FD518F"/>
    <w:rsid w:val="00FD5915"/>
    <w:rsid w:val="00FD6A11"/>
    <w:rsid w:val="00FD712F"/>
    <w:rsid w:val="00FF185D"/>
    <w:rsid w:val="00FF239F"/>
    <w:rsid w:val="00FF3AEE"/>
    <w:rsid w:val="3EF59C08"/>
    <w:rsid w:val="46F25859"/>
    <w:rsid w:val="F797FE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style>
  <w:style w:type="paragraph" w:styleId="3">
    <w:name w:val="Body Text Indent"/>
    <w:basedOn w:val="1"/>
    <w:link w:val="16"/>
    <w:qFormat/>
    <w:uiPriority w:val="0"/>
    <w:pPr>
      <w:ind w:firstLine="600" w:firstLineChars="200"/>
    </w:pPr>
    <w:rPr>
      <w:rFonts w:ascii="仿宋_GB2312" w:eastAsia="仿宋_GB2312"/>
      <w:sz w:val="32"/>
      <w:szCs w:val="32"/>
    </w:rPr>
  </w:style>
  <w:style w:type="paragraph" w:styleId="4">
    <w:name w:val="Plain Text"/>
    <w:basedOn w:val="1"/>
    <w:link w:val="18"/>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19"/>
    <w:unhideWhenUsed/>
    <w:qFormat/>
    <w:uiPriority w:val="0"/>
    <w:rPr>
      <w:b/>
      <w:bCs/>
    </w:rPr>
  </w:style>
  <w:style w:type="character" w:styleId="12">
    <w:name w:val="Strong"/>
    <w:qFormat/>
    <w:uiPriority w:val="22"/>
    <w:rPr>
      <w:b/>
      <w:bCs/>
    </w:rPr>
  </w:style>
  <w:style w:type="character" w:styleId="13">
    <w:name w:val="page number"/>
    <w:basedOn w:val="11"/>
    <w:qFormat/>
    <w:uiPriority w:val="0"/>
  </w:style>
  <w:style w:type="character" w:styleId="14">
    <w:name w:val="annotation reference"/>
    <w:unhideWhenUsed/>
    <w:qFormat/>
    <w:uiPriority w:val="0"/>
    <w:rPr>
      <w:sz w:val="21"/>
      <w:szCs w:val="21"/>
    </w:rPr>
  </w:style>
  <w:style w:type="character" w:customStyle="1" w:styleId="15">
    <w:name w:val="批注文字 Char"/>
    <w:link w:val="2"/>
    <w:semiHidden/>
    <w:qFormat/>
    <w:uiPriority w:val="0"/>
    <w:rPr>
      <w:kern w:val="2"/>
      <w:sz w:val="21"/>
      <w:szCs w:val="24"/>
    </w:rPr>
  </w:style>
  <w:style w:type="character" w:customStyle="1" w:styleId="16">
    <w:name w:val="正文文本缩进 Char"/>
    <w:link w:val="3"/>
    <w:qFormat/>
    <w:uiPriority w:val="0"/>
    <w:rPr>
      <w:rFonts w:ascii="仿宋_GB2312" w:eastAsia="仿宋_GB2312"/>
      <w:kern w:val="2"/>
      <w:sz w:val="32"/>
      <w:szCs w:val="32"/>
    </w:rPr>
  </w:style>
  <w:style w:type="character" w:customStyle="1" w:styleId="17">
    <w:name w:val="页眉 Char"/>
    <w:link w:val="7"/>
    <w:qFormat/>
    <w:uiPriority w:val="99"/>
    <w:rPr>
      <w:kern w:val="2"/>
      <w:sz w:val="18"/>
      <w:szCs w:val="18"/>
    </w:rPr>
  </w:style>
  <w:style w:type="character" w:customStyle="1" w:styleId="18">
    <w:name w:val="纯文本 Char"/>
    <w:link w:val="4"/>
    <w:qFormat/>
    <w:uiPriority w:val="0"/>
    <w:rPr>
      <w:rFonts w:ascii="宋体" w:hAnsi="Courier New"/>
      <w:kern w:val="2"/>
      <w:sz w:val="21"/>
    </w:rPr>
  </w:style>
  <w:style w:type="character" w:customStyle="1" w:styleId="19">
    <w:name w:val="批注主题 Char"/>
    <w:link w:val="9"/>
    <w:semiHidden/>
    <w:qFormat/>
    <w:uiPriority w:val="0"/>
    <w:rPr>
      <w:b/>
      <w:bCs/>
      <w:kern w:val="2"/>
      <w:sz w:val="21"/>
      <w:szCs w:val="24"/>
    </w:rPr>
  </w:style>
  <w:style w:type="paragraph" w:customStyle="1" w:styleId="20">
    <w:name w:val="5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Company>
  <Pages>3</Pages>
  <Words>276</Words>
  <Characters>1575</Characters>
  <Lines>13</Lines>
  <Paragraphs>3</Paragraphs>
  <TotalTime>1</TotalTime>
  <ScaleCrop>false</ScaleCrop>
  <LinksUpToDate>false</LinksUpToDate>
  <CharactersWithSpaces>1848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2020-12-29T00:06:00Z</dcterms:created>
  <dc:creator>xuyy</dc:creator>
  <cp:lastModifiedBy>aaaa</cp:lastModifiedBy>
  <cp:lastPrinted>2021-01-15T00:01:00Z</cp:lastPrinted>
  <dcterms:modified xsi:type="dcterms:W3CDTF">2021-03-12T15:37:32Z</dcterms:modified>
  <dc:title>闵行区生物医药产业的主要政策</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